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7155" w:rsidRDefault="00D52841">
      <w:r>
        <w:tab/>
      </w:r>
      <w:r>
        <w:tab/>
      </w:r>
      <w:r>
        <w:tab/>
      </w:r>
      <w:r>
        <w:tab/>
      </w:r>
      <w:r>
        <w:tab/>
      </w:r>
      <w:r>
        <w:tab/>
      </w:r>
      <w:r>
        <w:tab/>
      </w:r>
      <w:r>
        <w:tab/>
      </w:r>
      <w:r>
        <w:tab/>
      </w:r>
      <w:r>
        <w:tab/>
      </w:r>
    </w:p>
    <w:p w:rsidR="005218D6" w:rsidRDefault="005218D6">
      <w:pPr>
        <w:rPr>
          <w:b/>
        </w:rPr>
      </w:pPr>
      <w:r>
        <w:rPr>
          <w:noProof/>
        </w:rPr>
        <w:drawing>
          <wp:anchor distT="0" distB="0" distL="114300" distR="114300" simplePos="0" relativeHeight="251658240" behindDoc="0" locked="0" layoutInCell="1" allowOverlap="1">
            <wp:simplePos x="0" y="0"/>
            <wp:positionH relativeFrom="column">
              <wp:posOffset>5000625</wp:posOffset>
            </wp:positionH>
            <wp:positionV relativeFrom="paragraph">
              <wp:posOffset>11430</wp:posOffset>
            </wp:positionV>
            <wp:extent cx="1543050" cy="1675765"/>
            <wp:effectExtent l="0" t="0" r="0" b="635"/>
            <wp:wrapSquare wrapText="bothSides"/>
            <wp:docPr id="4" name="Picture 3" descr="C:\Users\Bellinil\AppData\Local\Microsoft\Windows\Temporary Internet Files\Content.Outlook\XW5WQH0D\SYSW-FY20-23980-Clifton.Well-being.fund.infographic.Final.jpg"/>
            <wp:cNvGraphicFramePr/>
            <a:graphic xmlns:a="http://schemas.openxmlformats.org/drawingml/2006/main">
              <a:graphicData uri="http://schemas.openxmlformats.org/drawingml/2006/picture">
                <pic:pic xmlns:pic="http://schemas.openxmlformats.org/drawingml/2006/picture">
                  <pic:nvPicPr>
                    <pic:cNvPr id="4" name="Picture 3" descr="C:\Users\Bellinil\AppData\Local\Microsoft\Windows\Temporary Internet Files\Content.Outlook\XW5WQH0D\SYSW-FY20-23980-Clifton.Well-being.fund.infographic.Final.jpg"/>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43050" cy="1675765"/>
                    </a:xfrm>
                    <a:prstGeom prst="rect">
                      <a:avLst/>
                    </a:prstGeom>
                    <a:noFill/>
                    <a:ln>
                      <a:noFill/>
                    </a:ln>
                  </pic:spPr>
                </pic:pic>
              </a:graphicData>
            </a:graphic>
          </wp:anchor>
        </w:drawing>
      </w:r>
    </w:p>
    <w:p w:rsidR="005218D6" w:rsidRPr="005218D6" w:rsidRDefault="005218D6">
      <w:pPr>
        <w:rPr>
          <w:b/>
          <w:sz w:val="32"/>
        </w:rPr>
      </w:pPr>
      <w:r w:rsidRPr="005218D6">
        <w:rPr>
          <w:b/>
          <w:sz w:val="32"/>
        </w:rPr>
        <w:t>Summary of Faculty Support During COVID 19</w:t>
      </w:r>
      <w:bookmarkStart w:id="0" w:name="_GoBack"/>
      <w:bookmarkEnd w:id="0"/>
    </w:p>
    <w:p w:rsidR="005218D6" w:rsidRDefault="005218D6">
      <w:pPr>
        <w:rPr>
          <w:b/>
        </w:rPr>
      </w:pPr>
    </w:p>
    <w:p w:rsidR="00E77155" w:rsidRPr="00D52841" w:rsidRDefault="00D52841">
      <w:pPr>
        <w:rPr>
          <w:b/>
        </w:rPr>
      </w:pPr>
      <w:r w:rsidRPr="00D52841">
        <w:rPr>
          <w:b/>
        </w:rPr>
        <w:t>CULTURE</w:t>
      </w:r>
    </w:p>
    <w:p w:rsidR="000822E2" w:rsidRPr="00EA2991" w:rsidRDefault="00EA2991" w:rsidP="00EA2991">
      <w:pPr>
        <w:rPr>
          <w:u w:val="single"/>
        </w:rPr>
      </w:pPr>
      <w:r w:rsidRPr="00EA2991">
        <w:rPr>
          <w:u w:val="single"/>
        </w:rPr>
        <w:t>Institutional values</w:t>
      </w:r>
    </w:p>
    <w:p w:rsidR="000822E2" w:rsidRDefault="00EA2991" w:rsidP="00EA2991">
      <w:pPr>
        <w:pStyle w:val="ListParagraph"/>
        <w:numPr>
          <w:ilvl w:val="1"/>
          <w:numId w:val="4"/>
        </w:numPr>
        <w:ind w:left="630"/>
      </w:pPr>
      <w:r w:rsidRPr="00D52841">
        <w:t>Action for Cultural Transformation</w:t>
      </w:r>
    </w:p>
    <w:p w:rsidR="000822E2" w:rsidRDefault="00EA2991" w:rsidP="00EA2991">
      <w:pPr>
        <w:pStyle w:val="ListParagraph"/>
        <w:numPr>
          <w:ilvl w:val="1"/>
          <w:numId w:val="4"/>
        </w:numPr>
        <w:ind w:left="630"/>
      </w:pPr>
      <w:r w:rsidRPr="00D52841">
        <w:t>Professionalism: RISE</w:t>
      </w:r>
      <w:r w:rsidR="00D52841">
        <w:t xml:space="preserve"> Respect, Integrity, Self-Care, Etiquette</w:t>
      </w:r>
    </w:p>
    <w:p w:rsidR="00EA2991" w:rsidRPr="00EA2991" w:rsidRDefault="00EA2991" w:rsidP="00EA2991">
      <w:pPr>
        <w:rPr>
          <w:u w:val="single"/>
        </w:rPr>
      </w:pPr>
      <w:r>
        <w:rPr>
          <w:u w:val="single"/>
        </w:rPr>
        <w:t>Dependent</w:t>
      </w:r>
      <w:r w:rsidRPr="00EA2991">
        <w:rPr>
          <w:u w:val="single"/>
        </w:rPr>
        <w:t xml:space="preserve"> support programs and partnerships: </w:t>
      </w:r>
    </w:p>
    <w:p w:rsidR="00EA2991" w:rsidRDefault="00EA2991" w:rsidP="00EA2991">
      <w:pPr>
        <w:pStyle w:val="ListParagraph"/>
        <w:numPr>
          <w:ilvl w:val="1"/>
          <w:numId w:val="4"/>
        </w:numPr>
        <w:ind w:left="630"/>
      </w:pPr>
      <w:r>
        <w:t xml:space="preserve">Bright Horizons University City-daycare to support Penn employees with onsite childcare from infants to </w:t>
      </w:r>
      <w:proofErr w:type="spellStart"/>
      <w:r>
        <w:t>preK</w:t>
      </w:r>
      <w:proofErr w:type="spellEnd"/>
      <w:r>
        <w:t xml:space="preserve">. </w:t>
      </w:r>
    </w:p>
    <w:p w:rsidR="00EA2991" w:rsidRDefault="00EA2991" w:rsidP="00EA2991">
      <w:pPr>
        <w:pStyle w:val="ListParagraph"/>
        <w:numPr>
          <w:ilvl w:val="1"/>
          <w:numId w:val="4"/>
        </w:numPr>
        <w:ind w:left="630"/>
      </w:pPr>
      <w:r>
        <w:t xml:space="preserve">Care.com subscription through Penn that enables one to search for and hire caregivers, tutors and babysitters. </w:t>
      </w:r>
      <w:hyperlink r:id="rId8" w:history="1">
        <w:r w:rsidRPr="00BF3596">
          <w:rPr>
            <w:rStyle w:val="Hyperlink"/>
          </w:rPr>
          <w:t>https://penn.care.com</w:t>
        </w:r>
      </w:hyperlink>
      <w:r>
        <w:t xml:space="preserve"> </w:t>
      </w:r>
    </w:p>
    <w:p w:rsidR="00EA2991" w:rsidRDefault="00EA2991" w:rsidP="00EA2991">
      <w:pPr>
        <w:pStyle w:val="ListParagraph"/>
        <w:numPr>
          <w:ilvl w:val="1"/>
          <w:numId w:val="4"/>
        </w:numPr>
        <w:ind w:left="630"/>
      </w:pPr>
      <w:proofErr w:type="spellStart"/>
      <w:r>
        <w:t>Komae</w:t>
      </w:r>
      <w:proofErr w:type="spellEnd"/>
      <w:r>
        <w:t>-</w:t>
      </w:r>
      <w:r w:rsidRPr="004E521C">
        <w:rPr>
          <w:rFonts w:eastAsiaTheme="minorEastAsia" w:hAnsi="Arial"/>
          <w:color w:val="000000"/>
          <w:kern w:val="24"/>
          <w:sz w:val="36"/>
          <w:szCs w:val="36"/>
        </w:rPr>
        <w:t xml:space="preserve"> </w:t>
      </w:r>
      <w:r w:rsidRPr="006B79BC">
        <w:t>cooperative childcare app</w:t>
      </w:r>
      <w:r>
        <w:t xml:space="preserve"> </w:t>
      </w:r>
      <w:r w:rsidRPr="006B79BC">
        <w:t>providing flexible care</w:t>
      </w:r>
      <w:r>
        <w:t xml:space="preserve"> management options for parents; a</w:t>
      </w:r>
      <w:r w:rsidRPr="006B79BC">
        <w:t>llows parents to manage and coordinate childcare within their own trusted networks.</w:t>
      </w:r>
      <w:r>
        <w:t xml:space="preserve"> </w:t>
      </w:r>
      <w:hyperlink r:id="rId9" w:history="1">
        <w:r w:rsidRPr="00BF3596">
          <w:rPr>
            <w:rStyle w:val="Hyperlink"/>
          </w:rPr>
          <w:t>https://www.mykomae.com/penn/</w:t>
        </w:r>
      </w:hyperlink>
    </w:p>
    <w:p w:rsidR="00EA2991" w:rsidRDefault="00EA2991" w:rsidP="00EA2991">
      <w:pPr>
        <w:pStyle w:val="ListParagraph"/>
        <w:numPr>
          <w:ilvl w:val="1"/>
          <w:numId w:val="4"/>
        </w:numPr>
        <w:ind w:left="630"/>
      </w:pPr>
      <w:proofErr w:type="spellStart"/>
      <w:r>
        <w:t>ThePupilPod</w:t>
      </w:r>
      <w:proofErr w:type="spellEnd"/>
      <w:r>
        <w:t>-</w:t>
      </w:r>
      <w:r w:rsidRPr="004E521C">
        <w:rPr>
          <w:rFonts w:eastAsiaTheme="minorEastAsia" w:hAnsi="Arial"/>
          <w:color w:val="000000"/>
          <w:kern w:val="24"/>
          <w:sz w:val="28"/>
          <w:szCs w:val="28"/>
        </w:rPr>
        <w:t xml:space="preserve"> </w:t>
      </w:r>
      <w:r w:rsidRPr="004E521C">
        <w:rPr>
          <w:rFonts w:eastAsiaTheme="minorEastAsia" w:hAnsi="Arial"/>
          <w:color w:val="000000"/>
          <w:kern w:val="24"/>
        </w:rPr>
        <w:t>Philly based start up from a former teacher that provides o</w:t>
      </w:r>
      <w:r w:rsidRPr="006B79BC">
        <w:t>nline or in person education for small pods of children (4-6 children) by a certified teacher</w:t>
      </w:r>
      <w:r>
        <w:t xml:space="preserve">. </w:t>
      </w:r>
      <w:hyperlink r:id="rId10">
        <w:r w:rsidRPr="004E521C">
          <w:rPr>
            <w:color w:val="1155CC"/>
            <w:u w:val="single"/>
          </w:rPr>
          <w:t>www.thepupilpod.com</w:t>
        </w:r>
      </w:hyperlink>
    </w:p>
    <w:p w:rsidR="00EA2991" w:rsidRPr="006B79BC" w:rsidRDefault="00EA2991" w:rsidP="00EA2991">
      <w:pPr>
        <w:pStyle w:val="ListParagraph"/>
        <w:numPr>
          <w:ilvl w:val="1"/>
          <w:numId w:val="4"/>
        </w:numPr>
        <w:ind w:left="630"/>
      </w:pPr>
      <w:r>
        <w:t xml:space="preserve">Primrose school of Center City- offering virtual learning programs, after school and days off programming. </w:t>
      </w:r>
      <w:hyperlink r:id="rId11" w:history="1">
        <w:r w:rsidRPr="00BF3596">
          <w:rPr>
            <w:rStyle w:val="Hyperlink"/>
          </w:rPr>
          <w:t>www.primrosecentercity.com</w:t>
        </w:r>
      </w:hyperlink>
      <w:r>
        <w:t xml:space="preserve"> </w:t>
      </w:r>
    </w:p>
    <w:p w:rsidR="00E20BA2" w:rsidRDefault="00E20BA2" w:rsidP="00E20BA2">
      <w:pPr>
        <w:pStyle w:val="ListParagraph"/>
        <w:numPr>
          <w:ilvl w:val="0"/>
          <w:numId w:val="4"/>
        </w:numPr>
        <w:ind w:left="630"/>
      </w:pPr>
      <w:r w:rsidRPr="00B80A32">
        <w:t>The Penn COVID-19 Childcare Grant helps faculty, staff, and postdoctoral trainees at the University who incur childcare expenses for care during the academic year</w:t>
      </w:r>
      <w:r>
        <w:t xml:space="preserve"> (</w:t>
      </w:r>
      <w:hyperlink r:id="rId12" w:history="1">
        <w:r w:rsidRPr="003E3EB7">
          <w:rPr>
            <w:rStyle w:val="Hyperlink"/>
          </w:rPr>
          <w:t>https://penntoday.upenn.edu/news/penn-announces-covid-19-childcare-grant</w:t>
        </w:r>
      </w:hyperlink>
      <w:r>
        <w:t>)</w:t>
      </w:r>
    </w:p>
    <w:p w:rsidR="00EA2991" w:rsidRDefault="00EA2991" w:rsidP="00EA2991">
      <w:pPr>
        <w:pStyle w:val="ListParagraph"/>
        <w:numPr>
          <w:ilvl w:val="1"/>
          <w:numId w:val="4"/>
        </w:numPr>
        <w:ind w:left="630"/>
      </w:pPr>
      <w:r>
        <w:t>Penn Caregiver Connections-</w:t>
      </w:r>
      <w:r w:rsidR="00D6726E">
        <w:t xml:space="preserve"> (</w:t>
      </w:r>
      <w:hyperlink r:id="rId13" w:history="1">
        <w:r w:rsidR="00D6726E" w:rsidRPr="00D6726E">
          <w:rPr>
            <w:rStyle w:val="Hyperlink"/>
            <w:rFonts w:cstheme="minorHAnsi"/>
            <w:color w:val="0070C0"/>
            <w:shd w:val="clear" w:color="auto" w:fill="FFFFFF"/>
          </w:rPr>
          <w:t>Caregiver Connections</w:t>
        </w:r>
      </w:hyperlink>
      <w:r w:rsidR="00D6726E" w:rsidRPr="00D6726E">
        <w:rPr>
          <w:rFonts w:cstheme="minorHAnsi"/>
        </w:rPr>
        <w:t>)</w:t>
      </w:r>
      <w:r w:rsidR="00D6726E" w:rsidRPr="00D6726E">
        <w:rPr>
          <w:color w:val="0070C0"/>
        </w:rPr>
        <w:t xml:space="preserve"> </w:t>
      </w:r>
      <w:r>
        <w:t>community bulletin board to find and share services.</w:t>
      </w:r>
    </w:p>
    <w:p w:rsidR="00EA2991" w:rsidRPr="00D52841" w:rsidRDefault="00EA2991" w:rsidP="00EA2991">
      <w:pPr>
        <w:pStyle w:val="ListParagraph"/>
        <w:ind w:left="1440"/>
      </w:pPr>
    </w:p>
    <w:p w:rsidR="00D52841" w:rsidRPr="00D52841" w:rsidRDefault="00D52841" w:rsidP="00D52841">
      <w:pPr>
        <w:rPr>
          <w:b/>
        </w:rPr>
      </w:pPr>
      <w:r w:rsidRPr="00D52841">
        <w:rPr>
          <w:b/>
        </w:rPr>
        <w:t>WORKING ENVIRONMENT</w:t>
      </w:r>
    </w:p>
    <w:p w:rsidR="00D52841" w:rsidRPr="00D52841" w:rsidRDefault="00D52841" w:rsidP="00D52841">
      <w:pPr>
        <w:rPr>
          <w:u w:val="single"/>
        </w:rPr>
      </w:pPr>
      <w:r w:rsidRPr="00D52841">
        <w:rPr>
          <w:u w:val="single"/>
        </w:rPr>
        <w:t>Academic Support</w:t>
      </w:r>
    </w:p>
    <w:p w:rsidR="00D52841" w:rsidRDefault="00D52841" w:rsidP="00D52841">
      <w:pPr>
        <w:pStyle w:val="ListParagraph"/>
        <w:numPr>
          <w:ilvl w:val="0"/>
          <w:numId w:val="3"/>
        </w:numPr>
      </w:pPr>
      <w:r>
        <w:t>Appointment, promotion and tenure process</w:t>
      </w:r>
    </w:p>
    <w:p w:rsidR="00D52841" w:rsidRDefault="00D52841" w:rsidP="00D52841">
      <w:pPr>
        <w:pStyle w:val="ListParagraph"/>
        <w:numPr>
          <w:ilvl w:val="1"/>
          <w:numId w:val="3"/>
        </w:numPr>
      </w:pPr>
      <w:r>
        <w:t>Partnered with the University to extend the promotion timeline for those with probationary periods.</w:t>
      </w:r>
    </w:p>
    <w:p w:rsidR="00D52841" w:rsidRDefault="00D52841" w:rsidP="00D52841">
      <w:pPr>
        <w:pStyle w:val="ListParagraph"/>
        <w:numPr>
          <w:ilvl w:val="1"/>
          <w:numId w:val="3"/>
        </w:numPr>
      </w:pPr>
      <w:r>
        <w:t>Currently evaluating how to best mitigate the impact of COVID19 on the promotions and tenures process.</w:t>
      </w:r>
    </w:p>
    <w:p w:rsidR="00D52841" w:rsidRDefault="00D52841" w:rsidP="00D52841">
      <w:pPr>
        <w:pStyle w:val="ListParagraph"/>
        <w:numPr>
          <w:ilvl w:val="1"/>
          <w:numId w:val="3"/>
        </w:numPr>
      </w:pPr>
      <w:r>
        <w:t>Introduced CV annotation to allow for listing of canceled invited lectures.</w:t>
      </w:r>
    </w:p>
    <w:p w:rsidR="00D52841" w:rsidRDefault="00D52841" w:rsidP="00D52841">
      <w:pPr>
        <w:pStyle w:val="ListParagraph"/>
        <w:numPr>
          <w:ilvl w:val="1"/>
          <w:numId w:val="3"/>
        </w:numPr>
      </w:pPr>
      <w:r>
        <w:t>Introduced annotation of teaching workbooks to enable listing of canceled teaching opportunities.</w:t>
      </w:r>
    </w:p>
    <w:p w:rsidR="00D52841" w:rsidRDefault="00D52841" w:rsidP="00D52841">
      <w:pPr>
        <w:pStyle w:val="ListParagraph"/>
        <w:numPr>
          <w:ilvl w:val="1"/>
          <w:numId w:val="3"/>
        </w:numPr>
      </w:pPr>
      <w:r>
        <w:t>Acceptance of virtual participation in lectures and teaching for the promotion process.</w:t>
      </w:r>
    </w:p>
    <w:p w:rsidR="00D52841" w:rsidRDefault="00D52841" w:rsidP="00D52841">
      <w:pPr>
        <w:pStyle w:val="ListParagraph"/>
        <w:numPr>
          <w:ilvl w:val="1"/>
          <w:numId w:val="3"/>
        </w:numPr>
      </w:pPr>
      <w:r>
        <w:lastRenderedPageBreak/>
        <w:t>In the process of defining how “engaged scholarship” for civic engagement will be considered in the promotion and tenure process.</w:t>
      </w:r>
    </w:p>
    <w:p w:rsidR="00D52841" w:rsidRDefault="00D52841" w:rsidP="00D52841">
      <w:pPr>
        <w:pStyle w:val="ListParagraph"/>
        <w:numPr>
          <w:ilvl w:val="1"/>
          <w:numId w:val="3"/>
        </w:numPr>
      </w:pPr>
      <w:r>
        <w:t>Re-organizing the CV format to allow for listing of civic engagement activities.</w:t>
      </w:r>
    </w:p>
    <w:p w:rsidR="00D52841" w:rsidRDefault="00E20BA2" w:rsidP="00D52841">
      <w:pPr>
        <w:pStyle w:val="ListParagraph"/>
        <w:numPr>
          <w:ilvl w:val="0"/>
          <w:numId w:val="3"/>
        </w:numPr>
      </w:pPr>
      <w:r>
        <w:t>Research support</w:t>
      </w:r>
    </w:p>
    <w:p w:rsidR="00E20BA2" w:rsidRDefault="00E20BA2" w:rsidP="00E20BA2">
      <w:pPr>
        <w:pStyle w:val="ListParagraph"/>
        <w:numPr>
          <w:ilvl w:val="1"/>
          <w:numId w:val="3"/>
        </w:numPr>
      </w:pPr>
      <w:r>
        <w:t>Research recovery program supports scholars impacted by the p</w:t>
      </w:r>
      <w:r w:rsidRPr="00806252">
        <w:t>andemic</w:t>
      </w:r>
      <w:r>
        <w:t xml:space="preserve"> (</w:t>
      </w:r>
      <w:hyperlink r:id="rId14" w:history="1">
        <w:r w:rsidRPr="003E3EB7">
          <w:rPr>
            <w:rStyle w:val="Hyperlink"/>
          </w:rPr>
          <w:t>https://research.upenn.edu/research-recovery-program-supports-scholars-impacted-by-the-pandemic/</w:t>
        </w:r>
      </w:hyperlink>
      <w:r>
        <w:t>)</w:t>
      </w:r>
    </w:p>
    <w:p w:rsidR="00E20BA2" w:rsidRDefault="00E20BA2" w:rsidP="00E20BA2">
      <w:pPr>
        <w:pStyle w:val="ListParagraph"/>
        <w:numPr>
          <w:ilvl w:val="1"/>
          <w:numId w:val="3"/>
        </w:numPr>
      </w:pPr>
      <w:r w:rsidRPr="00543D3C">
        <w:t>President’s PhD Initiative</w:t>
      </w:r>
      <w:r>
        <w:t xml:space="preserve">, </w:t>
      </w:r>
      <w:r w:rsidRPr="00543D3C">
        <w:t>a six-year $30 million commitment above and beyond the funds already dedicated for doctoral education, to begin this year.</w:t>
      </w:r>
    </w:p>
    <w:p w:rsidR="00E20BA2" w:rsidRDefault="00E20BA2" w:rsidP="00E20BA2">
      <w:pPr>
        <w:pStyle w:val="ListParagraph"/>
        <w:numPr>
          <w:ilvl w:val="1"/>
          <w:numId w:val="3"/>
        </w:numPr>
      </w:pPr>
      <w:r>
        <w:t>Bridge funding support for gaps in funding (</w:t>
      </w:r>
      <w:hyperlink r:id="rId15" w:history="1">
        <w:r w:rsidRPr="003E3EB7">
          <w:rPr>
            <w:rStyle w:val="Hyperlink"/>
          </w:rPr>
          <w:t>https://www.med.upenn.edu/evdresearch/psom-bridge-funding.pdf</w:t>
        </w:r>
      </w:hyperlink>
      <w:r>
        <w:t>)</w:t>
      </w:r>
    </w:p>
    <w:p w:rsidR="00E20BA2" w:rsidRDefault="00E20BA2" w:rsidP="00E20BA2">
      <w:pPr>
        <w:pStyle w:val="ListParagraph"/>
        <w:numPr>
          <w:ilvl w:val="1"/>
          <w:numId w:val="3"/>
        </w:numPr>
      </w:pPr>
      <w:r>
        <w:t>COVID funding opportunities (</w:t>
      </w:r>
      <w:hyperlink r:id="rId16" w:history="1">
        <w:r w:rsidR="0041578B" w:rsidRPr="00117D62">
          <w:rPr>
            <w:rStyle w:val="Hyperlink"/>
          </w:rPr>
          <w:t>https://www.med.upenn.edu/penncovresources/funding-sources.html</w:t>
        </w:r>
      </w:hyperlink>
      <w:r>
        <w:t>)</w:t>
      </w:r>
    </w:p>
    <w:p w:rsidR="0041578B" w:rsidRPr="0041578B" w:rsidRDefault="0041578B" w:rsidP="0041578B">
      <w:pPr>
        <w:pStyle w:val="ListParagraph"/>
        <w:numPr>
          <w:ilvl w:val="1"/>
          <w:numId w:val="3"/>
        </w:numPr>
        <w:rPr>
          <w:color w:val="1F497D"/>
        </w:rPr>
      </w:pPr>
      <w:r>
        <w:t xml:space="preserve">Promotion of NIH’s flexibility polices </w:t>
      </w:r>
      <w:r w:rsidRPr="0041578B">
        <w:rPr>
          <w:color w:val="000000" w:themeColor="text1"/>
        </w:rPr>
        <w:t>that allow for supplemental funding, no-cost extensions, extensions of training time, etc</w:t>
      </w:r>
      <w:r w:rsidRPr="0041578B">
        <w:rPr>
          <w:color w:val="1F497D"/>
        </w:rPr>
        <w:t xml:space="preserve">.  </w:t>
      </w:r>
      <w:hyperlink r:id="rId17" w:anchor="/covid-19.htm?anchor=alphaHeader4208" w:history="1">
        <w:r>
          <w:rPr>
            <w:rStyle w:val="Hyperlink"/>
          </w:rPr>
          <w:t>https://grants.nih.gov/faqs#/covid-19.htm?anchor=alphaHeader4208</w:t>
        </w:r>
      </w:hyperlink>
      <w:r w:rsidRPr="0041578B">
        <w:rPr>
          <w:color w:val="1F497D"/>
        </w:rPr>
        <w:t xml:space="preserve"> </w:t>
      </w:r>
    </w:p>
    <w:p w:rsidR="0041578B" w:rsidRPr="0041578B" w:rsidRDefault="0041578B" w:rsidP="0041578B">
      <w:pPr>
        <w:pStyle w:val="ListParagraph"/>
        <w:numPr>
          <w:ilvl w:val="1"/>
          <w:numId w:val="3"/>
        </w:numPr>
        <w:rPr>
          <w:color w:val="002060"/>
          <w:lang w:val="en"/>
        </w:rPr>
      </w:pPr>
      <w:r w:rsidRPr="0041578B">
        <w:rPr>
          <w:color w:val="000000" w:themeColor="text1"/>
          <w:lang w:val="en"/>
        </w:rPr>
        <w:t xml:space="preserve">Promotion of information for NIH Applicants and Recipients of NIH Funding </w:t>
      </w:r>
      <w:hyperlink r:id="rId18" w:history="1">
        <w:r w:rsidRPr="0041578B">
          <w:rPr>
            <w:rStyle w:val="Hyperlink"/>
            <w:lang w:val="en"/>
          </w:rPr>
          <w:t>https://grants.nih.gov/policy/natural-disasters/corona-virus.htm</w:t>
        </w:r>
      </w:hyperlink>
      <w:r w:rsidRPr="0041578B">
        <w:rPr>
          <w:color w:val="002060"/>
          <w:lang w:val="en"/>
        </w:rPr>
        <w:t>”</w:t>
      </w:r>
    </w:p>
    <w:p w:rsidR="00E20BA2" w:rsidRDefault="00D52841" w:rsidP="004767A7">
      <w:pPr>
        <w:pStyle w:val="ListParagraph"/>
        <w:numPr>
          <w:ilvl w:val="1"/>
          <w:numId w:val="3"/>
        </w:numPr>
      </w:pPr>
      <w:r>
        <w:t>Support staff</w:t>
      </w:r>
      <w:r w:rsidR="00E20BA2">
        <w:t xml:space="preserve"> - During this phase of our recovery, the University Hiring Freeze remains in place as well as the moratorium on reclassifications and equity salary adjustments.  However, the PSOM has expedited the exception review and approval of new and replacement staff positions that are 100% funded by grants. </w:t>
      </w:r>
    </w:p>
    <w:p w:rsidR="007F7B43" w:rsidRDefault="00745048" w:rsidP="00FA5F68">
      <w:pPr>
        <w:spacing w:after="0"/>
        <w:rPr>
          <w:u w:val="single"/>
        </w:rPr>
      </w:pPr>
      <w:r>
        <w:rPr>
          <w:u w:val="single"/>
        </w:rPr>
        <w:t>Policies/Programs/</w:t>
      </w:r>
      <w:r w:rsidR="007F7B43">
        <w:rPr>
          <w:u w:val="single"/>
        </w:rPr>
        <w:t>Administrative Support</w:t>
      </w:r>
    </w:p>
    <w:p w:rsidR="00D52841" w:rsidRDefault="00D52841" w:rsidP="00D52841">
      <w:pPr>
        <w:pStyle w:val="ListParagraph"/>
        <w:numPr>
          <w:ilvl w:val="1"/>
          <w:numId w:val="2"/>
        </w:numPr>
        <w:ind w:left="810"/>
      </w:pPr>
      <w:r>
        <w:t>University Special Incentive Program-a policy to promote retirement for standing faculty to enable the university to reinvest resources to support existing faculty and new hires.</w:t>
      </w:r>
    </w:p>
    <w:p w:rsidR="00D52841" w:rsidRDefault="00D52841" w:rsidP="00D52841">
      <w:pPr>
        <w:pStyle w:val="ListParagraph"/>
        <w:numPr>
          <w:ilvl w:val="1"/>
          <w:numId w:val="2"/>
        </w:numPr>
        <w:ind w:left="810"/>
      </w:pPr>
      <w:r>
        <w:t>LOA guidance- guidance document to handle requests for time off, leave, or reassignment for faculty with clinical responsibilities during the COVID-19 pandemic.</w:t>
      </w:r>
    </w:p>
    <w:p w:rsidR="00D52841" w:rsidRDefault="00D52841" w:rsidP="00D52841">
      <w:pPr>
        <w:pStyle w:val="ListParagraph"/>
        <w:numPr>
          <w:ilvl w:val="1"/>
          <w:numId w:val="2"/>
        </w:numPr>
        <w:ind w:left="810"/>
      </w:pPr>
      <w:r>
        <w:t>Promotion of Reduction in Duties policy-</w:t>
      </w:r>
      <w:r w:rsidRPr="0093134C">
        <w:t xml:space="preserve"> </w:t>
      </w:r>
      <w:r>
        <w:t>enables reduction in faculty duties for a maximum of 6 years, accompanied by a proportional reduction in salary and salary-based benefits.</w:t>
      </w:r>
    </w:p>
    <w:p w:rsidR="00D52841" w:rsidRDefault="00D52841" w:rsidP="00D52841">
      <w:pPr>
        <w:pStyle w:val="ListParagraph"/>
        <w:numPr>
          <w:ilvl w:val="1"/>
          <w:numId w:val="2"/>
        </w:numPr>
        <w:ind w:left="810"/>
        <w:jc w:val="both"/>
      </w:pPr>
      <w:r>
        <w:t>Academic Clinician Reduced Effort Policy-allows Academic Clinicians to remain in full time status if they continue 80% or more of regular duties; accompanied by a proportional reduction in salary and salary-based benefits.</w:t>
      </w:r>
    </w:p>
    <w:p w:rsidR="00FA5F68" w:rsidRDefault="00FA5F68" w:rsidP="00FA5F68">
      <w:pPr>
        <w:pStyle w:val="ListParagraph"/>
        <w:numPr>
          <w:ilvl w:val="1"/>
          <w:numId w:val="2"/>
        </w:numPr>
        <w:ind w:left="810"/>
        <w:jc w:val="both"/>
      </w:pPr>
      <w:r w:rsidRPr="00FA5F68">
        <w:t>CME office has launched support for mandatory training requirements for state licensure</w:t>
      </w:r>
      <w:r>
        <w:t>.</w:t>
      </w:r>
    </w:p>
    <w:p w:rsidR="00D52841" w:rsidRPr="004E521C" w:rsidRDefault="00D52841" w:rsidP="004E521C">
      <w:pPr>
        <w:rPr>
          <w:b/>
        </w:rPr>
      </w:pPr>
      <w:r w:rsidRPr="00D52841">
        <w:rPr>
          <w:b/>
        </w:rPr>
        <w:t>SELF CARE</w:t>
      </w:r>
    </w:p>
    <w:p w:rsidR="004E521C" w:rsidRPr="004E521C" w:rsidRDefault="004E521C" w:rsidP="00EA2991">
      <w:r w:rsidRPr="004E521C">
        <w:rPr>
          <w:u w:val="single"/>
        </w:rPr>
        <w:t>Penn COBALT</w:t>
      </w:r>
      <w:r>
        <w:t>-</w:t>
      </w:r>
      <w:r w:rsidRPr="004E521C">
        <w:rPr>
          <w:rFonts w:ascii="MyriadPro-Regular" w:hAnsi="MyriadPro-Regular" w:cs="MyriadPro-Regular"/>
          <w:sz w:val="20"/>
          <w:szCs w:val="20"/>
        </w:rPr>
        <w:t xml:space="preserve"> </w:t>
      </w:r>
      <w:r w:rsidRPr="004E521C">
        <w:rPr>
          <w:rFonts w:cs="MyriadPro-Regular"/>
          <w:szCs w:val="20"/>
        </w:rPr>
        <w:t>Web-based platform that provides curated mental health and wellness content, live groups, and individual virtual support; uses targeted assessments to streamline content and triage to the right level and type of support with embedded scheduling and telehealth capabilities to provide HIPAA-compliant mental healthcare</w:t>
      </w:r>
    </w:p>
    <w:p w:rsidR="000822E2" w:rsidRDefault="00EA2991" w:rsidP="000D4B17">
      <w:pPr>
        <w:spacing w:after="0"/>
        <w:rPr>
          <w:u w:val="single"/>
        </w:rPr>
      </w:pPr>
      <w:r w:rsidRPr="004E521C">
        <w:rPr>
          <w:u w:val="single"/>
        </w:rPr>
        <w:t>Professional development</w:t>
      </w:r>
    </w:p>
    <w:p w:rsidR="000D4B17" w:rsidRDefault="007F7B43" w:rsidP="000D4B17">
      <w:pPr>
        <w:pStyle w:val="ListParagraph"/>
        <w:numPr>
          <w:ilvl w:val="1"/>
          <w:numId w:val="2"/>
        </w:numPr>
        <w:ind w:left="720"/>
      </w:pPr>
      <w:r>
        <w:t xml:space="preserve">New programming with CME on </w:t>
      </w:r>
      <w:r w:rsidR="000D4B17">
        <w:t>best practices for virtual interactions and interviewing</w:t>
      </w:r>
    </w:p>
    <w:p w:rsidR="000D4B17" w:rsidRDefault="000D4B17" w:rsidP="000D4B17">
      <w:pPr>
        <w:pStyle w:val="ListParagraph"/>
        <w:numPr>
          <w:ilvl w:val="1"/>
          <w:numId w:val="2"/>
        </w:numPr>
        <w:ind w:left="720"/>
      </w:pPr>
      <w:r>
        <w:t>Development of new learning opportunities related to virtual collaboration including virtual networking, virtual mentoring and virtual teaching</w:t>
      </w:r>
    </w:p>
    <w:p w:rsidR="000D4B17" w:rsidRDefault="000D4B17" w:rsidP="000D4B17">
      <w:pPr>
        <w:pStyle w:val="ListParagraph"/>
        <w:numPr>
          <w:ilvl w:val="1"/>
          <w:numId w:val="2"/>
        </w:numPr>
        <w:ind w:left="720"/>
      </w:pPr>
      <w:r>
        <w:t>Updating existing courses to include teaching in the virtual environment</w:t>
      </w:r>
    </w:p>
    <w:p w:rsidR="000D4B17" w:rsidRDefault="000D4B17" w:rsidP="000D4B17">
      <w:pPr>
        <w:pStyle w:val="ListParagraph"/>
        <w:numPr>
          <w:ilvl w:val="1"/>
          <w:numId w:val="2"/>
        </w:numPr>
        <w:ind w:left="720"/>
      </w:pPr>
      <w:r>
        <w:t>Developed series of virtual sessions focusing on university-wide resources to help junior faculty succeed in research, teaching and clinical efforts</w:t>
      </w:r>
    </w:p>
    <w:p w:rsidR="000822E2" w:rsidRDefault="000D4B17" w:rsidP="000D4B17">
      <w:pPr>
        <w:spacing w:after="0"/>
        <w:rPr>
          <w:u w:val="single"/>
        </w:rPr>
      </w:pPr>
      <w:r>
        <w:rPr>
          <w:u w:val="single"/>
        </w:rPr>
        <w:t xml:space="preserve">Peer Support and </w:t>
      </w:r>
      <w:r w:rsidR="00EA2991" w:rsidRPr="004E521C">
        <w:rPr>
          <w:u w:val="single"/>
        </w:rPr>
        <w:t>Mentorship</w:t>
      </w:r>
    </w:p>
    <w:p w:rsidR="000D4B17" w:rsidRDefault="000D4B17" w:rsidP="000D4B17">
      <w:pPr>
        <w:pStyle w:val="ListParagraph"/>
        <w:numPr>
          <w:ilvl w:val="0"/>
          <w:numId w:val="5"/>
        </w:numPr>
      </w:pPr>
      <w:r w:rsidRPr="000D4B17">
        <w:rPr>
          <w:u w:val="single"/>
        </w:rPr>
        <w:t>FOCUS Chats-</w:t>
      </w:r>
      <w:r>
        <w:t xml:space="preserve"> Open discussions provide an opportunity for faculty to reflect with peers about timely topics of importance in our workplace and communities, careers and lives.  Challenges and strategies for success are shared in a safe setting of respectful discourse.  </w:t>
      </w:r>
    </w:p>
    <w:p w:rsidR="000D4B17" w:rsidRDefault="000D4B17" w:rsidP="000D4B17">
      <w:pPr>
        <w:pStyle w:val="ListParagraph"/>
        <w:numPr>
          <w:ilvl w:val="0"/>
          <w:numId w:val="5"/>
        </w:numPr>
      </w:pPr>
      <w:r w:rsidRPr="000D4B17">
        <w:rPr>
          <w:u w:val="single"/>
        </w:rPr>
        <w:t>FOCUS Lunchtime Seminar Series</w:t>
      </w:r>
      <w:r>
        <w:t>-S</w:t>
      </w:r>
      <w:r w:rsidRPr="009139BC">
        <w:t>eminars highlight faculty doing new, innovative research or leading</w:t>
      </w:r>
      <w:r>
        <w:t xml:space="preserve"> programs that</w:t>
      </w:r>
      <w:r w:rsidRPr="009139BC">
        <w:t xml:space="preserve"> address</w:t>
      </w:r>
      <w:r>
        <w:t xml:space="preserve"> key challenges facing medicine and healthcare</w:t>
      </w:r>
    </w:p>
    <w:p w:rsidR="00EB3644" w:rsidRDefault="000D4B17" w:rsidP="002B416B">
      <w:pPr>
        <w:pStyle w:val="ListParagraph"/>
        <w:numPr>
          <w:ilvl w:val="0"/>
          <w:numId w:val="5"/>
        </w:numPr>
      </w:pPr>
      <w:r w:rsidRPr="00EB3644">
        <w:rPr>
          <w:u w:val="single"/>
        </w:rPr>
        <w:t>FOCUS Leadership Series</w:t>
      </w:r>
      <w:r w:rsidRPr="00EB3644">
        <w:rPr>
          <w:b/>
        </w:rPr>
        <w:t xml:space="preserve"> </w:t>
      </w:r>
      <w:r w:rsidRPr="000D4B17">
        <w:t>-Seminars</w:t>
      </w:r>
      <w:r w:rsidRPr="007D616D">
        <w:t xml:space="preserve"> and workshops provide leadership training on </w:t>
      </w:r>
      <w:r w:rsidR="00EB3644">
        <w:t xml:space="preserve">relevant </w:t>
      </w:r>
      <w:r w:rsidRPr="007D616D">
        <w:t xml:space="preserve">topics of interest to faculty </w:t>
      </w:r>
    </w:p>
    <w:p w:rsidR="000D4B17" w:rsidRDefault="000D4B17" w:rsidP="000D4B17">
      <w:pPr>
        <w:pStyle w:val="ListParagraph"/>
        <w:numPr>
          <w:ilvl w:val="0"/>
          <w:numId w:val="5"/>
        </w:numPr>
      </w:pPr>
      <w:r w:rsidRPr="000D4B17">
        <w:rPr>
          <w:u w:val="single"/>
        </w:rPr>
        <w:t>Focused chats</w:t>
      </w:r>
      <w:r>
        <w:t xml:space="preserve"> to provide peer community building through the Anna T. Meadows Society (in process)</w:t>
      </w:r>
    </w:p>
    <w:p w:rsidR="000D4B17" w:rsidRDefault="000D4B17" w:rsidP="000D4B17">
      <w:pPr>
        <w:pStyle w:val="ListParagraph"/>
        <w:numPr>
          <w:ilvl w:val="0"/>
          <w:numId w:val="5"/>
        </w:numPr>
      </w:pPr>
      <w:proofErr w:type="spellStart"/>
      <w:r w:rsidRPr="000D4B17">
        <w:rPr>
          <w:u w:val="single"/>
        </w:rPr>
        <w:t>Microlearnings</w:t>
      </w:r>
      <w:proofErr w:type="spellEnd"/>
      <w:r>
        <w:t xml:space="preserve"> on how to mentor and be mentored in </w:t>
      </w:r>
      <w:r w:rsidR="00EB3644">
        <w:t>a virtual environment</w:t>
      </w:r>
    </w:p>
    <w:p w:rsidR="000D4B17" w:rsidRDefault="000E570E" w:rsidP="000D4B17">
      <w:pPr>
        <w:pStyle w:val="ListParagraph"/>
        <w:numPr>
          <w:ilvl w:val="0"/>
          <w:numId w:val="5"/>
        </w:numPr>
      </w:pPr>
      <w:r w:rsidRPr="000E570E">
        <w:rPr>
          <w:u w:val="single"/>
        </w:rPr>
        <w:t>Penn Libraries</w:t>
      </w:r>
      <w:r>
        <w:t xml:space="preserve"> are a</w:t>
      </w:r>
      <w:r w:rsidR="000D4B17">
        <w:t>ssembl</w:t>
      </w:r>
      <w:r>
        <w:t>ing</w:t>
      </w:r>
      <w:r w:rsidR="000D4B17">
        <w:t xml:space="preserve"> networking and</w:t>
      </w:r>
      <w:r w:rsidR="00EB3644">
        <w:t xml:space="preserve"> mentorship resources </w:t>
      </w:r>
    </w:p>
    <w:p w:rsidR="000D4B17" w:rsidRPr="004E521C" w:rsidRDefault="000D4B17" w:rsidP="004E521C">
      <w:pPr>
        <w:rPr>
          <w:u w:val="single"/>
        </w:rPr>
      </w:pPr>
    </w:p>
    <w:p w:rsidR="00D52841" w:rsidRDefault="00D52841"/>
    <w:p w:rsidR="00D52841" w:rsidRDefault="00D52841"/>
    <w:sectPr w:rsidR="00D52841">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4BC3" w:rsidRDefault="00CF4BC3" w:rsidP="00CF4BC3">
      <w:pPr>
        <w:spacing w:after="0" w:line="240" w:lineRule="auto"/>
      </w:pPr>
      <w:r>
        <w:separator/>
      </w:r>
    </w:p>
  </w:endnote>
  <w:endnote w:type="continuationSeparator" w:id="0">
    <w:p w:rsidR="00CF4BC3" w:rsidRDefault="00CF4BC3" w:rsidP="00CF4B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Pro-Regular">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4BC3" w:rsidRDefault="00CF4BC3">
    <w:pPr>
      <w:pStyle w:val="Footer"/>
    </w:pPr>
    <w:r>
      <w:tab/>
    </w:r>
    <w:r>
      <w:tab/>
    </w:r>
    <w:r w:rsidR="00EB3644">
      <w:t>1/12/21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4BC3" w:rsidRDefault="00CF4BC3" w:rsidP="00CF4BC3">
      <w:pPr>
        <w:spacing w:after="0" w:line="240" w:lineRule="auto"/>
      </w:pPr>
      <w:r>
        <w:separator/>
      </w:r>
    </w:p>
  </w:footnote>
  <w:footnote w:type="continuationSeparator" w:id="0">
    <w:p w:rsidR="00CF4BC3" w:rsidRDefault="00CF4BC3" w:rsidP="00CF4B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7B42D1"/>
    <w:multiLevelType w:val="hybridMultilevel"/>
    <w:tmpl w:val="385ED78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AF91ECE"/>
    <w:multiLevelType w:val="hybridMultilevel"/>
    <w:tmpl w:val="0680B80E"/>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517B159D"/>
    <w:multiLevelType w:val="hybridMultilevel"/>
    <w:tmpl w:val="960CF2F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A0B1436"/>
    <w:multiLevelType w:val="hybridMultilevel"/>
    <w:tmpl w:val="2EC46D1C"/>
    <w:lvl w:ilvl="0" w:tplc="6270D5CC">
      <w:start w:val="1"/>
      <w:numFmt w:val="bullet"/>
      <w:lvlText w:val=""/>
      <w:lvlJc w:val="left"/>
      <w:pPr>
        <w:tabs>
          <w:tab w:val="num" w:pos="720"/>
        </w:tabs>
        <w:ind w:left="720" w:hanging="360"/>
      </w:pPr>
      <w:rPr>
        <w:rFonts w:ascii="Wingdings" w:hAnsi="Wingdings" w:hint="default"/>
      </w:rPr>
    </w:lvl>
    <w:lvl w:ilvl="1" w:tplc="9580EF6A">
      <w:start w:val="188"/>
      <w:numFmt w:val="bullet"/>
      <w:lvlText w:val="•"/>
      <w:lvlJc w:val="left"/>
      <w:pPr>
        <w:tabs>
          <w:tab w:val="num" w:pos="1440"/>
        </w:tabs>
        <w:ind w:left="1440" w:hanging="360"/>
      </w:pPr>
      <w:rPr>
        <w:rFonts w:ascii="Times New Roman" w:hAnsi="Times New Roman" w:hint="default"/>
      </w:rPr>
    </w:lvl>
    <w:lvl w:ilvl="2" w:tplc="522E0568" w:tentative="1">
      <w:start w:val="1"/>
      <w:numFmt w:val="bullet"/>
      <w:lvlText w:val=""/>
      <w:lvlJc w:val="left"/>
      <w:pPr>
        <w:tabs>
          <w:tab w:val="num" w:pos="2160"/>
        </w:tabs>
        <w:ind w:left="2160" w:hanging="360"/>
      </w:pPr>
      <w:rPr>
        <w:rFonts w:ascii="Wingdings" w:hAnsi="Wingdings" w:hint="default"/>
      </w:rPr>
    </w:lvl>
    <w:lvl w:ilvl="3" w:tplc="E2E4FC3A" w:tentative="1">
      <w:start w:val="1"/>
      <w:numFmt w:val="bullet"/>
      <w:lvlText w:val=""/>
      <w:lvlJc w:val="left"/>
      <w:pPr>
        <w:tabs>
          <w:tab w:val="num" w:pos="2880"/>
        </w:tabs>
        <w:ind w:left="2880" w:hanging="360"/>
      </w:pPr>
      <w:rPr>
        <w:rFonts w:ascii="Wingdings" w:hAnsi="Wingdings" w:hint="default"/>
      </w:rPr>
    </w:lvl>
    <w:lvl w:ilvl="4" w:tplc="CE16D95A" w:tentative="1">
      <w:start w:val="1"/>
      <w:numFmt w:val="bullet"/>
      <w:lvlText w:val=""/>
      <w:lvlJc w:val="left"/>
      <w:pPr>
        <w:tabs>
          <w:tab w:val="num" w:pos="3600"/>
        </w:tabs>
        <w:ind w:left="3600" w:hanging="360"/>
      </w:pPr>
      <w:rPr>
        <w:rFonts w:ascii="Wingdings" w:hAnsi="Wingdings" w:hint="default"/>
      </w:rPr>
    </w:lvl>
    <w:lvl w:ilvl="5" w:tplc="11B83C58" w:tentative="1">
      <w:start w:val="1"/>
      <w:numFmt w:val="bullet"/>
      <w:lvlText w:val=""/>
      <w:lvlJc w:val="left"/>
      <w:pPr>
        <w:tabs>
          <w:tab w:val="num" w:pos="4320"/>
        </w:tabs>
        <w:ind w:left="4320" w:hanging="360"/>
      </w:pPr>
      <w:rPr>
        <w:rFonts w:ascii="Wingdings" w:hAnsi="Wingdings" w:hint="default"/>
      </w:rPr>
    </w:lvl>
    <w:lvl w:ilvl="6" w:tplc="79AE6920" w:tentative="1">
      <w:start w:val="1"/>
      <w:numFmt w:val="bullet"/>
      <w:lvlText w:val=""/>
      <w:lvlJc w:val="left"/>
      <w:pPr>
        <w:tabs>
          <w:tab w:val="num" w:pos="5040"/>
        </w:tabs>
        <w:ind w:left="5040" w:hanging="360"/>
      </w:pPr>
      <w:rPr>
        <w:rFonts w:ascii="Wingdings" w:hAnsi="Wingdings" w:hint="default"/>
      </w:rPr>
    </w:lvl>
    <w:lvl w:ilvl="7" w:tplc="8A94DF06" w:tentative="1">
      <w:start w:val="1"/>
      <w:numFmt w:val="bullet"/>
      <w:lvlText w:val=""/>
      <w:lvlJc w:val="left"/>
      <w:pPr>
        <w:tabs>
          <w:tab w:val="num" w:pos="5760"/>
        </w:tabs>
        <w:ind w:left="5760" w:hanging="360"/>
      </w:pPr>
      <w:rPr>
        <w:rFonts w:ascii="Wingdings" w:hAnsi="Wingdings" w:hint="default"/>
      </w:rPr>
    </w:lvl>
    <w:lvl w:ilvl="8" w:tplc="951E1B50"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5E7225B"/>
    <w:multiLevelType w:val="hybridMultilevel"/>
    <w:tmpl w:val="9F1442A0"/>
    <w:lvl w:ilvl="0" w:tplc="0409000F">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688E6914"/>
    <w:multiLevelType w:val="hybridMultilevel"/>
    <w:tmpl w:val="D2C67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0E00C25"/>
    <w:multiLevelType w:val="hybridMultilevel"/>
    <w:tmpl w:val="7BB0A9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0" w:hanging="360"/>
      </w:pPr>
      <w:rPr>
        <w:rFonts w:ascii="Courier New" w:hAnsi="Courier New" w:cs="Courier New"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cs="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cs="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7" w15:restartNumberingAfterBreak="0">
    <w:nsid w:val="7C45468D"/>
    <w:multiLevelType w:val="hybridMultilevel"/>
    <w:tmpl w:val="C0D65814"/>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4"/>
  </w:num>
  <w:num w:numId="3">
    <w:abstractNumId w:val="0"/>
  </w:num>
  <w:num w:numId="4">
    <w:abstractNumId w:val="1"/>
  </w:num>
  <w:num w:numId="5">
    <w:abstractNumId w:val="2"/>
  </w:num>
  <w:num w:numId="6">
    <w:abstractNumId w:val="6"/>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155"/>
    <w:rsid w:val="000822E2"/>
    <w:rsid w:val="000D4B17"/>
    <w:rsid w:val="000E570E"/>
    <w:rsid w:val="001B1CC0"/>
    <w:rsid w:val="0023783C"/>
    <w:rsid w:val="0041578B"/>
    <w:rsid w:val="00427F0D"/>
    <w:rsid w:val="004E521C"/>
    <w:rsid w:val="005218D6"/>
    <w:rsid w:val="006F42AE"/>
    <w:rsid w:val="00745048"/>
    <w:rsid w:val="007F7B43"/>
    <w:rsid w:val="00AE123C"/>
    <w:rsid w:val="00BD0877"/>
    <w:rsid w:val="00CF4BC3"/>
    <w:rsid w:val="00D52841"/>
    <w:rsid w:val="00D6726E"/>
    <w:rsid w:val="00E20BA2"/>
    <w:rsid w:val="00E77155"/>
    <w:rsid w:val="00EA2991"/>
    <w:rsid w:val="00EB3644"/>
    <w:rsid w:val="00FA5F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2570BB"/>
  <w15:chartTrackingRefBased/>
  <w15:docId w15:val="{6E5EC651-8770-48AE-B4A0-AA3246F76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2841"/>
    <w:pPr>
      <w:ind w:left="720"/>
      <w:contextualSpacing/>
    </w:pPr>
  </w:style>
  <w:style w:type="character" w:styleId="Hyperlink">
    <w:name w:val="Hyperlink"/>
    <w:basedOn w:val="DefaultParagraphFont"/>
    <w:uiPriority w:val="99"/>
    <w:unhideWhenUsed/>
    <w:rsid w:val="004E521C"/>
    <w:rPr>
      <w:color w:val="0563C1" w:themeColor="hyperlink"/>
      <w:u w:val="single"/>
    </w:rPr>
  </w:style>
  <w:style w:type="paragraph" w:styleId="Header">
    <w:name w:val="header"/>
    <w:basedOn w:val="Normal"/>
    <w:link w:val="HeaderChar"/>
    <w:uiPriority w:val="99"/>
    <w:unhideWhenUsed/>
    <w:rsid w:val="00CF4B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4BC3"/>
  </w:style>
  <w:style w:type="paragraph" w:styleId="Footer">
    <w:name w:val="footer"/>
    <w:basedOn w:val="Normal"/>
    <w:link w:val="FooterChar"/>
    <w:uiPriority w:val="99"/>
    <w:unhideWhenUsed/>
    <w:rsid w:val="00CF4B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4B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697829">
      <w:bodyDiv w:val="1"/>
      <w:marLeft w:val="0"/>
      <w:marRight w:val="0"/>
      <w:marTop w:val="0"/>
      <w:marBottom w:val="0"/>
      <w:divBdr>
        <w:top w:val="none" w:sz="0" w:space="0" w:color="auto"/>
        <w:left w:val="none" w:sz="0" w:space="0" w:color="auto"/>
        <w:bottom w:val="none" w:sz="0" w:space="0" w:color="auto"/>
        <w:right w:val="none" w:sz="0" w:space="0" w:color="auto"/>
      </w:divBdr>
      <w:divsChild>
        <w:div w:id="1024332329">
          <w:marLeft w:val="0"/>
          <w:marRight w:val="0"/>
          <w:marTop w:val="0"/>
          <w:marBottom w:val="0"/>
          <w:divBdr>
            <w:top w:val="none" w:sz="0" w:space="0" w:color="auto"/>
            <w:left w:val="none" w:sz="0" w:space="0" w:color="auto"/>
            <w:bottom w:val="none" w:sz="0" w:space="0" w:color="auto"/>
            <w:right w:val="none" w:sz="0" w:space="0" w:color="auto"/>
          </w:divBdr>
          <w:divsChild>
            <w:div w:id="1144084714">
              <w:marLeft w:val="0"/>
              <w:marRight w:val="0"/>
              <w:marTop w:val="0"/>
              <w:marBottom w:val="0"/>
              <w:divBdr>
                <w:top w:val="none" w:sz="0" w:space="0" w:color="auto"/>
                <w:left w:val="none" w:sz="0" w:space="0" w:color="auto"/>
                <w:bottom w:val="none" w:sz="0" w:space="0" w:color="auto"/>
                <w:right w:val="none" w:sz="0" w:space="0" w:color="auto"/>
              </w:divBdr>
            </w:div>
          </w:divsChild>
        </w:div>
        <w:div w:id="1443375706">
          <w:marLeft w:val="0"/>
          <w:marRight w:val="0"/>
          <w:marTop w:val="0"/>
          <w:marBottom w:val="300"/>
          <w:divBdr>
            <w:top w:val="none" w:sz="0" w:space="0" w:color="auto"/>
            <w:left w:val="none" w:sz="0" w:space="0" w:color="auto"/>
            <w:bottom w:val="none" w:sz="0" w:space="0" w:color="auto"/>
            <w:right w:val="none" w:sz="0" w:space="0" w:color="auto"/>
          </w:divBdr>
          <w:divsChild>
            <w:div w:id="1987078534">
              <w:marLeft w:val="0"/>
              <w:marRight w:val="0"/>
              <w:marTop w:val="0"/>
              <w:marBottom w:val="0"/>
              <w:divBdr>
                <w:top w:val="none" w:sz="0" w:space="0" w:color="auto"/>
                <w:left w:val="none" w:sz="0" w:space="0" w:color="auto"/>
                <w:bottom w:val="none" w:sz="0" w:space="0" w:color="auto"/>
                <w:right w:val="none" w:sz="0" w:space="0" w:color="auto"/>
              </w:divBdr>
              <w:divsChild>
                <w:div w:id="891963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011368">
          <w:marLeft w:val="0"/>
          <w:marRight w:val="0"/>
          <w:marTop w:val="0"/>
          <w:marBottom w:val="0"/>
          <w:divBdr>
            <w:top w:val="none" w:sz="0" w:space="0" w:color="auto"/>
            <w:left w:val="none" w:sz="0" w:space="0" w:color="auto"/>
            <w:bottom w:val="none" w:sz="0" w:space="0" w:color="auto"/>
            <w:right w:val="none" w:sz="0" w:space="0" w:color="auto"/>
          </w:divBdr>
          <w:divsChild>
            <w:div w:id="894967646">
              <w:marLeft w:val="0"/>
              <w:marRight w:val="0"/>
              <w:marTop w:val="0"/>
              <w:marBottom w:val="0"/>
              <w:divBdr>
                <w:top w:val="none" w:sz="0" w:space="0" w:color="auto"/>
                <w:left w:val="none" w:sz="0" w:space="0" w:color="auto"/>
                <w:bottom w:val="none" w:sz="0" w:space="0" w:color="auto"/>
                <w:right w:val="none" w:sz="0" w:space="0" w:color="auto"/>
              </w:divBdr>
              <w:divsChild>
                <w:div w:id="1042022625">
                  <w:marLeft w:val="0"/>
                  <w:marRight w:val="0"/>
                  <w:marTop w:val="0"/>
                  <w:marBottom w:val="0"/>
                  <w:divBdr>
                    <w:top w:val="none" w:sz="0" w:space="0" w:color="auto"/>
                    <w:left w:val="none" w:sz="0" w:space="0" w:color="auto"/>
                    <w:bottom w:val="none" w:sz="0" w:space="0" w:color="auto"/>
                    <w:right w:val="none" w:sz="0" w:space="0" w:color="auto"/>
                  </w:divBdr>
                  <w:divsChild>
                    <w:div w:id="736782688">
                      <w:marLeft w:val="0"/>
                      <w:marRight w:val="0"/>
                      <w:marTop w:val="0"/>
                      <w:marBottom w:val="0"/>
                      <w:divBdr>
                        <w:top w:val="none" w:sz="0" w:space="0" w:color="auto"/>
                        <w:left w:val="none" w:sz="0" w:space="0" w:color="auto"/>
                        <w:bottom w:val="none" w:sz="0" w:space="0" w:color="auto"/>
                        <w:right w:val="none" w:sz="0" w:space="0" w:color="auto"/>
                      </w:divBdr>
                      <w:divsChild>
                        <w:div w:id="421336447">
                          <w:marLeft w:val="0"/>
                          <w:marRight w:val="0"/>
                          <w:marTop w:val="0"/>
                          <w:marBottom w:val="0"/>
                          <w:divBdr>
                            <w:top w:val="none" w:sz="0" w:space="0" w:color="auto"/>
                            <w:left w:val="none" w:sz="0" w:space="0" w:color="auto"/>
                            <w:bottom w:val="none" w:sz="0" w:space="0" w:color="auto"/>
                            <w:right w:val="none" w:sz="0" w:space="0" w:color="auto"/>
                          </w:divBdr>
                          <w:divsChild>
                            <w:div w:id="937982238">
                              <w:marLeft w:val="0"/>
                              <w:marRight w:val="0"/>
                              <w:marTop w:val="0"/>
                              <w:marBottom w:val="0"/>
                              <w:divBdr>
                                <w:top w:val="single" w:sz="6" w:space="0" w:color="D9D9D9"/>
                                <w:left w:val="single" w:sz="6" w:space="0" w:color="D9D9D9"/>
                                <w:bottom w:val="single" w:sz="6" w:space="0" w:color="D9D9D9"/>
                                <w:right w:val="single" w:sz="6" w:space="0" w:color="D9D9D9"/>
                              </w:divBdr>
                              <w:divsChild>
                                <w:div w:id="188027716">
                                  <w:marLeft w:val="0"/>
                                  <w:marRight w:val="0"/>
                                  <w:marTop w:val="0"/>
                                  <w:marBottom w:val="0"/>
                                  <w:divBdr>
                                    <w:top w:val="none" w:sz="0" w:space="0" w:color="auto"/>
                                    <w:left w:val="none" w:sz="0" w:space="0" w:color="auto"/>
                                    <w:bottom w:val="none" w:sz="0" w:space="0" w:color="auto"/>
                                    <w:right w:val="none" w:sz="0" w:space="0" w:color="auto"/>
                                  </w:divBdr>
                                  <w:divsChild>
                                    <w:div w:id="665481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9960899">
          <w:marLeft w:val="0"/>
          <w:marRight w:val="0"/>
          <w:marTop w:val="0"/>
          <w:marBottom w:val="0"/>
          <w:divBdr>
            <w:top w:val="none" w:sz="0" w:space="0" w:color="auto"/>
            <w:left w:val="none" w:sz="0" w:space="0" w:color="auto"/>
            <w:bottom w:val="none" w:sz="0" w:space="0" w:color="auto"/>
            <w:right w:val="none" w:sz="0" w:space="0" w:color="auto"/>
          </w:divBdr>
        </w:div>
        <w:div w:id="1038353126">
          <w:marLeft w:val="0"/>
          <w:marRight w:val="0"/>
          <w:marTop w:val="0"/>
          <w:marBottom w:val="0"/>
          <w:divBdr>
            <w:top w:val="none" w:sz="0" w:space="0" w:color="auto"/>
            <w:left w:val="none" w:sz="0" w:space="0" w:color="auto"/>
            <w:bottom w:val="none" w:sz="0" w:space="0" w:color="auto"/>
            <w:right w:val="none" w:sz="0" w:space="0" w:color="auto"/>
          </w:divBdr>
        </w:div>
        <w:div w:id="855846550">
          <w:marLeft w:val="0"/>
          <w:marRight w:val="0"/>
          <w:marTop w:val="0"/>
          <w:marBottom w:val="0"/>
          <w:divBdr>
            <w:top w:val="none" w:sz="0" w:space="0" w:color="auto"/>
            <w:left w:val="none" w:sz="0" w:space="0" w:color="auto"/>
            <w:bottom w:val="none" w:sz="0" w:space="0" w:color="auto"/>
            <w:right w:val="none" w:sz="0" w:space="0" w:color="auto"/>
          </w:divBdr>
        </w:div>
        <w:div w:id="567151600">
          <w:marLeft w:val="0"/>
          <w:marRight w:val="0"/>
          <w:marTop w:val="0"/>
          <w:marBottom w:val="0"/>
          <w:divBdr>
            <w:top w:val="none" w:sz="0" w:space="0" w:color="auto"/>
            <w:left w:val="none" w:sz="0" w:space="0" w:color="auto"/>
            <w:bottom w:val="none" w:sz="0" w:space="0" w:color="auto"/>
            <w:right w:val="none" w:sz="0" w:space="0" w:color="auto"/>
          </w:divBdr>
          <w:divsChild>
            <w:div w:id="1661621425">
              <w:marLeft w:val="0"/>
              <w:marRight w:val="0"/>
              <w:marTop w:val="0"/>
              <w:marBottom w:val="0"/>
              <w:divBdr>
                <w:top w:val="none" w:sz="0" w:space="0" w:color="auto"/>
                <w:left w:val="none" w:sz="0" w:space="0" w:color="auto"/>
                <w:bottom w:val="none" w:sz="0" w:space="0" w:color="auto"/>
                <w:right w:val="none" w:sz="0" w:space="0" w:color="auto"/>
              </w:divBdr>
              <w:divsChild>
                <w:div w:id="1780877679">
                  <w:marLeft w:val="0"/>
                  <w:marRight w:val="0"/>
                  <w:marTop w:val="0"/>
                  <w:marBottom w:val="0"/>
                  <w:divBdr>
                    <w:top w:val="none" w:sz="0" w:space="0" w:color="auto"/>
                    <w:left w:val="none" w:sz="0" w:space="0" w:color="auto"/>
                    <w:bottom w:val="none" w:sz="0" w:space="0" w:color="auto"/>
                    <w:right w:val="none" w:sz="0" w:space="0" w:color="auto"/>
                  </w:divBdr>
                  <w:divsChild>
                    <w:div w:id="1558473404">
                      <w:marLeft w:val="0"/>
                      <w:marRight w:val="0"/>
                      <w:marTop w:val="0"/>
                      <w:marBottom w:val="0"/>
                      <w:divBdr>
                        <w:top w:val="none" w:sz="0" w:space="0" w:color="auto"/>
                        <w:left w:val="none" w:sz="0" w:space="0" w:color="auto"/>
                        <w:bottom w:val="none" w:sz="0" w:space="0" w:color="auto"/>
                        <w:right w:val="none" w:sz="0" w:space="0" w:color="auto"/>
                      </w:divBdr>
                      <w:divsChild>
                        <w:div w:id="1052270651">
                          <w:marLeft w:val="0"/>
                          <w:marRight w:val="0"/>
                          <w:marTop w:val="0"/>
                          <w:marBottom w:val="0"/>
                          <w:divBdr>
                            <w:top w:val="none" w:sz="0" w:space="0" w:color="auto"/>
                            <w:left w:val="none" w:sz="0" w:space="0" w:color="auto"/>
                            <w:bottom w:val="none" w:sz="0" w:space="0" w:color="auto"/>
                            <w:right w:val="none" w:sz="0" w:space="0" w:color="auto"/>
                          </w:divBdr>
                        </w:div>
                        <w:div w:id="1457408157">
                          <w:marLeft w:val="0"/>
                          <w:marRight w:val="0"/>
                          <w:marTop w:val="0"/>
                          <w:marBottom w:val="0"/>
                          <w:divBdr>
                            <w:top w:val="none" w:sz="0" w:space="0" w:color="auto"/>
                            <w:left w:val="none" w:sz="0" w:space="0" w:color="auto"/>
                            <w:bottom w:val="none" w:sz="0" w:space="0" w:color="auto"/>
                            <w:right w:val="none" w:sz="0" w:space="0" w:color="auto"/>
                          </w:divBdr>
                        </w:div>
                      </w:divsChild>
                    </w:div>
                    <w:div w:id="1656490544">
                      <w:marLeft w:val="0"/>
                      <w:marRight w:val="0"/>
                      <w:marTop w:val="0"/>
                      <w:marBottom w:val="0"/>
                      <w:divBdr>
                        <w:top w:val="none" w:sz="0" w:space="0" w:color="auto"/>
                        <w:left w:val="none" w:sz="0" w:space="0" w:color="auto"/>
                        <w:bottom w:val="none" w:sz="0" w:space="0" w:color="auto"/>
                        <w:right w:val="none" w:sz="0" w:space="0" w:color="auto"/>
                      </w:divBdr>
                      <w:divsChild>
                        <w:div w:id="506136696">
                          <w:marLeft w:val="0"/>
                          <w:marRight w:val="0"/>
                          <w:marTop w:val="240"/>
                          <w:marBottom w:val="240"/>
                          <w:divBdr>
                            <w:top w:val="single" w:sz="12" w:space="0" w:color="005293"/>
                            <w:left w:val="single" w:sz="12" w:space="0" w:color="005293"/>
                            <w:bottom w:val="single" w:sz="12" w:space="0" w:color="005293"/>
                            <w:right w:val="single" w:sz="12" w:space="0" w:color="005293"/>
                          </w:divBdr>
                        </w:div>
                      </w:divsChild>
                    </w:div>
                  </w:divsChild>
                </w:div>
              </w:divsChild>
            </w:div>
          </w:divsChild>
        </w:div>
      </w:divsChild>
    </w:div>
    <w:div w:id="617763184">
      <w:bodyDiv w:val="1"/>
      <w:marLeft w:val="0"/>
      <w:marRight w:val="0"/>
      <w:marTop w:val="0"/>
      <w:marBottom w:val="0"/>
      <w:divBdr>
        <w:top w:val="none" w:sz="0" w:space="0" w:color="auto"/>
        <w:left w:val="none" w:sz="0" w:space="0" w:color="auto"/>
        <w:bottom w:val="none" w:sz="0" w:space="0" w:color="auto"/>
        <w:right w:val="none" w:sz="0" w:space="0" w:color="auto"/>
      </w:divBdr>
    </w:div>
    <w:div w:id="633754924">
      <w:bodyDiv w:val="1"/>
      <w:marLeft w:val="0"/>
      <w:marRight w:val="0"/>
      <w:marTop w:val="0"/>
      <w:marBottom w:val="0"/>
      <w:divBdr>
        <w:top w:val="none" w:sz="0" w:space="0" w:color="auto"/>
        <w:left w:val="none" w:sz="0" w:space="0" w:color="auto"/>
        <w:bottom w:val="none" w:sz="0" w:space="0" w:color="auto"/>
        <w:right w:val="none" w:sz="0" w:space="0" w:color="auto"/>
      </w:divBdr>
      <w:divsChild>
        <w:div w:id="868030840">
          <w:marLeft w:val="547"/>
          <w:marRight w:val="0"/>
          <w:marTop w:val="0"/>
          <w:marBottom w:val="0"/>
          <w:divBdr>
            <w:top w:val="none" w:sz="0" w:space="0" w:color="auto"/>
            <w:left w:val="none" w:sz="0" w:space="0" w:color="auto"/>
            <w:bottom w:val="none" w:sz="0" w:space="0" w:color="auto"/>
            <w:right w:val="none" w:sz="0" w:space="0" w:color="auto"/>
          </w:divBdr>
        </w:div>
      </w:divsChild>
    </w:div>
    <w:div w:id="1924217639">
      <w:bodyDiv w:val="1"/>
      <w:marLeft w:val="0"/>
      <w:marRight w:val="0"/>
      <w:marTop w:val="0"/>
      <w:marBottom w:val="0"/>
      <w:divBdr>
        <w:top w:val="none" w:sz="0" w:space="0" w:color="auto"/>
        <w:left w:val="none" w:sz="0" w:space="0" w:color="auto"/>
        <w:bottom w:val="none" w:sz="0" w:space="0" w:color="auto"/>
        <w:right w:val="none" w:sz="0" w:space="0" w:color="auto"/>
      </w:divBdr>
      <w:divsChild>
        <w:div w:id="2023243946">
          <w:marLeft w:val="389"/>
          <w:marRight w:val="0"/>
          <w:marTop w:val="80"/>
          <w:marBottom w:val="40"/>
          <w:divBdr>
            <w:top w:val="none" w:sz="0" w:space="0" w:color="auto"/>
            <w:left w:val="none" w:sz="0" w:space="0" w:color="auto"/>
            <w:bottom w:val="none" w:sz="0" w:space="0" w:color="auto"/>
            <w:right w:val="none" w:sz="0" w:space="0" w:color="auto"/>
          </w:divBdr>
        </w:div>
        <w:div w:id="811485811">
          <w:marLeft w:val="1037"/>
          <w:marRight w:val="0"/>
          <w:marTop w:val="40"/>
          <w:marBottom w:val="40"/>
          <w:divBdr>
            <w:top w:val="none" w:sz="0" w:space="0" w:color="auto"/>
            <w:left w:val="none" w:sz="0" w:space="0" w:color="auto"/>
            <w:bottom w:val="none" w:sz="0" w:space="0" w:color="auto"/>
            <w:right w:val="none" w:sz="0" w:space="0" w:color="auto"/>
          </w:divBdr>
        </w:div>
        <w:div w:id="1824613896">
          <w:marLeft w:val="1037"/>
          <w:marRight w:val="0"/>
          <w:marTop w:val="40"/>
          <w:marBottom w:val="40"/>
          <w:divBdr>
            <w:top w:val="none" w:sz="0" w:space="0" w:color="auto"/>
            <w:left w:val="none" w:sz="0" w:space="0" w:color="auto"/>
            <w:bottom w:val="none" w:sz="0" w:space="0" w:color="auto"/>
            <w:right w:val="none" w:sz="0" w:space="0" w:color="auto"/>
          </w:divBdr>
        </w:div>
        <w:div w:id="1710642220">
          <w:marLeft w:val="389"/>
          <w:marRight w:val="0"/>
          <w:marTop w:val="80"/>
          <w:marBottom w:val="40"/>
          <w:divBdr>
            <w:top w:val="none" w:sz="0" w:space="0" w:color="auto"/>
            <w:left w:val="none" w:sz="0" w:space="0" w:color="auto"/>
            <w:bottom w:val="none" w:sz="0" w:space="0" w:color="auto"/>
            <w:right w:val="none" w:sz="0" w:space="0" w:color="auto"/>
          </w:divBdr>
        </w:div>
        <w:div w:id="1929388649">
          <w:marLeft w:val="389"/>
          <w:marRight w:val="0"/>
          <w:marTop w:val="80"/>
          <w:marBottom w:val="40"/>
          <w:divBdr>
            <w:top w:val="none" w:sz="0" w:space="0" w:color="auto"/>
            <w:left w:val="none" w:sz="0" w:space="0" w:color="auto"/>
            <w:bottom w:val="none" w:sz="0" w:space="0" w:color="auto"/>
            <w:right w:val="none" w:sz="0" w:space="0" w:color="auto"/>
          </w:divBdr>
        </w:div>
        <w:div w:id="1762290314">
          <w:marLeft w:val="389"/>
          <w:marRight w:val="0"/>
          <w:marTop w:val="80"/>
          <w:marBottom w:val="40"/>
          <w:divBdr>
            <w:top w:val="none" w:sz="0" w:space="0" w:color="auto"/>
            <w:left w:val="none" w:sz="0" w:space="0" w:color="auto"/>
            <w:bottom w:val="none" w:sz="0" w:space="0" w:color="auto"/>
            <w:right w:val="none" w:sz="0" w:space="0" w:color="auto"/>
          </w:divBdr>
        </w:div>
        <w:div w:id="1215242334">
          <w:marLeft w:val="389"/>
          <w:marRight w:val="0"/>
          <w:marTop w:val="80"/>
          <w:marBottom w:val="40"/>
          <w:divBdr>
            <w:top w:val="none" w:sz="0" w:space="0" w:color="auto"/>
            <w:left w:val="none" w:sz="0" w:space="0" w:color="auto"/>
            <w:bottom w:val="none" w:sz="0" w:space="0" w:color="auto"/>
            <w:right w:val="none" w:sz="0" w:space="0" w:color="auto"/>
          </w:divBdr>
        </w:div>
        <w:div w:id="1289892698">
          <w:marLeft w:val="1037"/>
          <w:marRight w:val="0"/>
          <w:marTop w:val="40"/>
          <w:marBottom w:val="40"/>
          <w:divBdr>
            <w:top w:val="none" w:sz="0" w:space="0" w:color="auto"/>
            <w:left w:val="none" w:sz="0" w:space="0" w:color="auto"/>
            <w:bottom w:val="none" w:sz="0" w:space="0" w:color="auto"/>
            <w:right w:val="none" w:sz="0" w:space="0" w:color="auto"/>
          </w:divBdr>
        </w:div>
        <w:div w:id="266667869">
          <w:marLeft w:val="1037"/>
          <w:marRight w:val="0"/>
          <w:marTop w:val="40"/>
          <w:marBottom w:val="40"/>
          <w:divBdr>
            <w:top w:val="none" w:sz="0" w:space="0" w:color="auto"/>
            <w:left w:val="none" w:sz="0" w:space="0" w:color="auto"/>
            <w:bottom w:val="none" w:sz="0" w:space="0" w:color="auto"/>
            <w:right w:val="none" w:sz="0" w:space="0" w:color="auto"/>
          </w:divBdr>
        </w:div>
      </w:divsChild>
    </w:div>
    <w:div w:id="1998259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enn.care.com" TargetMode="External"/><Relationship Id="rId13" Type="http://schemas.openxmlformats.org/officeDocument/2006/relationships/hyperlink" Target="https://provost.upenn.edu/caregiver-connections" TargetMode="External"/><Relationship Id="rId18" Type="http://schemas.openxmlformats.org/officeDocument/2006/relationships/hyperlink" Target="https://grants.nih.gov/policy/natural-disasters/corona-virus.htm"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s://penntoday.upenn.edu/news/penn-announces-covid-19-childcare-grant" TargetMode="External"/><Relationship Id="rId17" Type="http://schemas.openxmlformats.org/officeDocument/2006/relationships/hyperlink" Target="https://grants.nih.gov/faqs" TargetMode="External"/><Relationship Id="rId2" Type="http://schemas.openxmlformats.org/officeDocument/2006/relationships/styles" Target="styles.xml"/><Relationship Id="rId16" Type="http://schemas.openxmlformats.org/officeDocument/2006/relationships/hyperlink" Target="https://www.med.upenn.edu/penncovresources/funding-sources.html"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rimrosecentercity.com" TargetMode="External"/><Relationship Id="rId5" Type="http://schemas.openxmlformats.org/officeDocument/2006/relationships/footnotes" Target="footnotes.xml"/><Relationship Id="rId15" Type="http://schemas.openxmlformats.org/officeDocument/2006/relationships/hyperlink" Target="https://www.med.upenn.edu/evdresearch/psom-bridge-funding.pdf" TargetMode="External"/><Relationship Id="rId10" Type="http://schemas.openxmlformats.org/officeDocument/2006/relationships/hyperlink" Target="http://www.thepupilpod.com"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mykomae.com/penn/" TargetMode="External"/><Relationship Id="rId14" Type="http://schemas.openxmlformats.org/officeDocument/2006/relationships/hyperlink" Target="https://research.upenn.edu/research-recovery-program-supports-scholars-impacted-by-the-pandemi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1364</TotalTime>
  <Pages>3</Pages>
  <Words>981</Words>
  <Characters>5593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Penn Medicine</Company>
  <LinksUpToDate>false</LinksUpToDate>
  <CharactersWithSpaces>6561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Bellini, Lisa</dc:creator>
  <cp:keywords/>
  <dc:description/>
  <cp:lastModifiedBy>Bellini, Lisa</cp:lastModifiedBy>
  <cp:revision>14</cp:revision>
  <dcterms:created xsi:type="dcterms:W3CDTF">2020-10-31T16:33:00Z</dcterms:created>
  <dcterms:modified xsi:type="dcterms:W3CDTF">2021-01-12T16:48:00Z</dcterms:modified>
</cp:coreProperties>
</file>